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DE7D9" w14:textId="1392D0F5" w:rsidR="00CA62E9" w:rsidRDefault="00CA62E9"/>
    <w:p w14:paraId="02671250" w14:textId="587D389D" w:rsidR="00B67A0D" w:rsidRDefault="00B67A0D" w:rsidP="00B67A0D">
      <w:pPr>
        <w:jc w:val="right"/>
      </w:pPr>
      <w:r>
        <w:t>Приложение 1</w:t>
      </w:r>
      <w:r w:rsidR="00F037DD">
        <w:t>8</w:t>
      </w:r>
      <w:bookmarkStart w:id="0" w:name="_GoBack"/>
      <w:bookmarkEnd w:id="0"/>
    </w:p>
    <w:p w14:paraId="2848ECAD" w14:textId="53D48C08" w:rsidR="00B67A0D" w:rsidRDefault="00B67A0D" w:rsidP="00B67A0D">
      <w:pPr>
        <w:jc w:val="right"/>
      </w:pPr>
      <w:r>
        <w:t>к Дополнительному соглашению 1</w:t>
      </w:r>
    </w:p>
    <w:p w14:paraId="1C0CE3A7" w14:textId="016168E1" w:rsidR="00B67A0D" w:rsidRDefault="00B67A0D" w:rsidP="00B67A0D">
      <w:pPr>
        <w:jc w:val="right"/>
      </w:pPr>
      <w:r>
        <w:t>от 30.01.2018</w:t>
      </w:r>
    </w:p>
    <w:p w14:paraId="11013338" w14:textId="77777777" w:rsidR="00B67A0D" w:rsidRDefault="00B67A0D" w:rsidP="00B67A0D">
      <w:pPr>
        <w:jc w:val="right"/>
      </w:pPr>
    </w:p>
    <w:tbl>
      <w:tblPr>
        <w:tblW w:w="9943" w:type="dxa"/>
        <w:tblInd w:w="-34" w:type="dxa"/>
        <w:tblLook w:val="04A0" w:firstRow="1" w:lastRow="0" w:firstColumn="1" w:lastColumn="0" w:noHBand="0" w:noVBand="1"/>
      </w:tblPr>
      <w:tblGrid>
        <w:gridCol w:w="9943"/>
      </w:tblGrid>
      <w:tr w:rsidR="0096610A" w:rsidRPr="0096610A" w14:paraId="422A03C8" w14:textId="77777777" w:rsidTr="00873694">
        <w:trPr>
          <w:trHeight w:val="617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A1321" w14:textId="7281B312"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621E57">
              <w:t>38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14:paraId="47BCB7FF" w14:textId="77777777"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14:paraId="2DEB97C4" w14:textId="66F95F7C"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4149CE">
              <w:t xml:space="preserve">8 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4149CE">
              <w:t>2</w:t>
            </w:r>
            <w:r w:rsidR="00F55335">
              <w:t>1</w:t>
            </w:r>
            <w:r w:rsidR="00476643">
              <w:t>.12</w:t>
            </w:r>
            <w:r w:rsidR="0096610A" w:rsidRPr="00F711D9">
              <w:t>.201</w:t>
            </w:r>
            <w:r w:rsidR="004149CE">
              <w:t>7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14:paraId="60DFF7BB" w14:textId="3BE61F3C" w:rsidR="00F711D9" w:rsidRDefault="00F711D9" w:rsidP="00F711D9">
      <w:pPr>
        <w:rPr>
          <w:sz w:val="26"/>
          <w:szCs w:val="26"/>
        </w:rPr>
      </w:pPr>
    </w:p>
    <w:p w14:paraId="064901C3" w14:textId="77777777" w:rsidR="00873694" w:rsidRDefault="00873694" w:rsidP="00F711D9">
      <w:pPr>
        <w:rPr>
          <w:sz w:val="26"/>
          <w:szCs w:val="26"/>
        </w:rPr>
      </w:pPr>
    </w:p>
    <w:p w14:paraId="0B2FA63D" w14:textId="77777777" w:rsidR="00BC7264" w:rsidRDefault="00BC7264" w:rsidP="00BC7264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1" w:name="_Hlk504813792"/>
      <w:r w:rsidRPr="00BC7264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14:paraId="3E093BD1" w14:textId="77777777" w:rsidR="00BC7264" w:rsidRPr="00BC7264" w:rsidRDefault="00BC7264" w:rsidP="00BC7264">
      <w:pPr>
        <w:jc w:val="center"/>
        <w:rPr>
          <w:rFonts w:eastAsia="Calibri"/>
          <w:b/>
          <w:sz w:val="28"/>
          <w:szCs w:val="28"/>
          <w:lang w:eastAsia="zh-CN"/>
        </w:rPr>
      </w:pPr>
    </w:p>
    <w:p w14:paraId="0348899C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C7264">
        <w:rPr>
          <w:rFonts w:eastAsia="Calibri"/>
          <w:sz w:val="24"/>
          <w:szCs w:val="24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14:paraId="10D3E07E" w14:textId="372232E5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</w:t>
      </w:r>
      <w:r w:rsidR="00A955F7" w:rsidRPr="00F55335">
        <w:rPr>
          <w:rFonts w:eastAsia="Calibri" w:cs="Calibri"/>
          <w:sz w:val="24"/>
          <w:szCs w:val="24"/>
          <w:lang w:eastAsia="en-US"/>
        </w:rPr>
        <w:t>№</w:t>
      </w:r>
      <w:r w:rsidRPr="00F55335">
        <w:rPr>
          <w:rFonts w:eastAsia="Calibri" w:cs="Calibri"/>
          <w:sz w:val="24"/>
          <w:szCs w:val="24"/>
          <w:lang w:eastAsia="en-US"/>
        </w:rPr>
        <w:t xml:space="preserve"> 025-1/у </w:t>
      </w:r>
      <w:r w:rsidR="00A955F7" w:rsidRPr="00F55335">
        <w:rPr>
          <w:rFonts w:eastAsia="Calibri" w:cs="Calibri"/>
          <w:sz w:val="24"/>
          <w:szCs w:val="24"/>
          <w:lang w:eastAsia="en-US"/>
        </w:rPr>
        <w:t>«</w:t>
      </w:r>
      <w:r w:rsidRPr="00F55335">
        <w:rPr>
          <w:rFonts w:eastAsia="Calibri" w:cs="Calibri"/>
          <w:sz w:val="24"/>
          <w:szCs w:val="24"/>
          <w:lang w:eastAsia="en-US"/>
        </w:rPr>
        <w:t>Талон пациента, получающего медицинскую помощь в амбулаторных условиях</w:t>
      </w:r>
      <w:r w:rsidR="00A955F7" w:rsidRPr="00F55335">
        <w:rPr>
          <w:rFonts w:eastAsia="Calibri" w:cs="Calibri"/>
          <w:sz w:val="24"/>
          <w:szCs w:val="24"/>
          <w:lang w:eastAsia="en-US"/>
        </w:rPr>
        <w:t>»</w:t>
      </w:r>
      <w:r w:rsidRPr="00F55335">
        <w:rPr>
          <w:rFonts w:eastAsia="Calibri" w:cs="Calibri"/>
          <w:sz w:val="24"/>
          <w:szCs w:val="24"/>
          <w:lang w:eastAsia="en-US"/>
        </w:rPr>
        <w:t xml:space="preserve">, утверждаемой Минздравом России. </w:t>
      </w:r>
    </w:p>
    <w:p w14:paraId="2B580BCE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14:paraId="6BC9B9FF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1.</w:t>
      </w:r>
      <w:r w:rsidRPr="00F55335">
        <w:rPr>
          <w:rFonts w:eastAsia="Calibri" w:cs="Calibri"/>
          <w:sz w:val="24"/>
          <w:szCs w:val="24"/>
          <w:lang w:eastAsia="en-US"/>
        </w:rPr>
        <w:tab/>
        <w:t>Посещения с профилактическими и иными целями:</w:t>
      </w:r>
    </w:p>
    <w:p w14:paraId="34F15583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а) посещения с профилактической целью, в том числе:</w:t>
      </w:r>
    </w:p>
    <w:p w14:paraId="296A4F65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центров здоровья (комплексный медицинский осмотр);</w:t>
      </w:r>
    </w:p>
    <w:p w14:paraId="6E749022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в связи с диспансеризацией определённых групп населения;</w:t>
      </w:r>
    </w:p>
    <w:p w14:paraId="08CA5C45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в связи с диспансерным наблюдением, в том числе с целью выписки рецептов на лекарственные препараты;</w:t>
      </w:r>
    </w:p>
    <w:p w14:paraId="5642768B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в связи с медицинскими осмотрами в соответствии с порядками, утверждаемыми Министерством здравоохранения Российской Федерации;</w:t>
      </w:r>
    </w:p>
    <w:p w14:paraId="4ECA842B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в связи с патронажем;</w:t>
      </w:r>
    </w:p>
    <w:p w14:paraId="4A3D3F03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б) посещения с другими обстоятельствами, в том числе:</w:t>
      </w:r>
    </w:p>
    <w:p w14:paraId="2AA72451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в связи с получением справки, других медицинских документов;</w:t>
      </w:r>
    </w:p>
    <w:p w14:paraId="6929032D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в) разовые посещения по заболеванию с целью выполнения отдельных диагностических услуг по направлению другой МО без посещения врача или медицинского работника со средним образованием. Посещение с профилактическими и иными целями при разовых посещениях по заболеванию, в том числе с целью выполнения отдельных диагностических услуг по направлению другой МО без посещения врача или медицинского работника со средним образованием, формируется в реестре как отдельная запись, которая может содержать любое количество диагностических услуг, при этом она не содержит ни одного посещения врача. Такая запись учитывается в реестре медицинских услуг как «0» посещений с профилактической целью. При этом стоимость оказанных диагностических услуг учитывается в объеме финансирования за посещения с профилактической и иной целью. В медицинских организациях, оказывающих только диагностические услуги в амбулаторных условиях:</w:t>
      </w:r>
    </w:p>
    <w:p w14:paraId="656BC7B0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810235 ФБУЗ Центр гигиены и эпидемиологии в ХМАО-Югре;</w:t>
      </w:r>
    </w:p>
    <w:p w14:paraId="72D88BD1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810189 ООО «Оздоровительный центр «ВИРА»;</w:t>
      </w:r>
    </w:p>
    <w:p w14:paraId="7878CBCE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810258 ООО «МРТ-Эксперт Сургут»;</w:t>
      </w:r>
    </w:p>
    <w:p w14:paraId="4D2F99D7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810259 ООО «УЗИ в Сургуте»;</w:t>
      </w:r>
    </w:p>
    <w:p w14:paraId="362DBE9F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810314 ООО «</w:t>
      </w:r>
      <w:proofErr w:type="spellStart"/>
      <w:r w:rsidRPr="00F55335">
        <w:rPr>
          <w:rFonts w:eastAsia="Calibri" w:cs="Calibri"/>
          <w:sz w:val="24"/>
          <w:szCs w:val="24"/>
          <w:lang w:eastAsia="en-US"/>
        </w:rPr>
        <w:t>Витафарм</w:t>
      </w:r>
      <w:proofErr w:type="spellEnd"/>
      <w:r w:rsidRPr="00F55335">
        <w:rPr>
          <w:rFonts w:eastAsia="Calibri" w:cs="Calibri"/>
          <w:sz w:val="24"/>
          <w:szCs w:val="24"/>
          <w:lang w:eastAsia="en-US"/>
        </w:rPr>
        <w:t>»;</w:t>
      </w:r>
    </w:p>
    <w:p w14:paraId="13F6BAB9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lastRenderedPageBreak/>
        <w:t>810247 ООО «</w:t>
      </w:r>
      <w:proofErr w:type="spellStart"/>
      <w:r w:rsidRPr="00F55335">
        <w:rPr>
          <w:rFonts w:eastAsia="Calibri" w:cs="Calibri"/>
          <w:sz w:val="24"/>
          <w:szCs w:val="24"/>
          <w:lang w:eastAsia="en-US"/>
        </w:rPr>
        <w:t>Витацентр</w:t>
      </w:r>
      <w:proofErr w:type="spellEnd"/>
      <w:r w:rsidRPr="00F55335">
        <w:rPr>
          <w:rFonts w:eastAsia="Calibri" w:cs="Calibri"/>
          <w:sz w:val="24"/>
          <w:szCs w:val="24"/>
          <w:lang w:eastAsia="en-US"/>
        </w:rPr>
        <w:t>»;</w:t>
      </w:r>
    </w:p>
    <w:p w14:paraId="7B660054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810104 БУ «Нижневартовская окружная клиническая больница»;</w:t>
      </w:r>
    </w:p>
    <w:p w14:paraId="13278E67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810105 БУ «Нижневартовская окружная больница № 2»;</w:t>
      </w:r>
    </w:p>
    <w:p w14:paraId="6F8ED0DE" w14:textId="77777777" w:rsidR="00BC7264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810119 БУ «Сургутская городская клиническая больница»,</w:t>
      </w:r>
    </w:p>
    <w:p w14:paraId="7F35BBAE" w14:textId="7ABB3B34" w:rsidR="00CA62E9" w:rsidRDefault="00694F49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810301 </w:t>
      </w:r>
      <w:r w:rsidRPr="00694F49">
        <w:rPr>
          <w:rFonts w:eastAsia="Calibri" w:cs="Calibri"/>
          <w:sz w:val="24"/>
          <w:szCs w:val="24"/>
          <w:lang w:eastAsia="en-US"/>
        </w:rPr>
        <w:t>ООО "ЛДЦ МИБС-Нижневартовск", г. Нижневартовск</w:t>
      </w:r>
    </w:p>
    <w:p w14:paraId="7E5B751C" w14:textId="16020546" w:rsidR="00694F49" w:rsidRDefault="00694F49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810316</w:t>
      </w:r>
      <w:r w:rsidRPr="00694F49">
        <w:t xml:space="preserve"> </w:t>
      </w:r>
      <w:r w:rsidRPr="00694F49">
        <w:rPr>
          <w:rFonts w:eastAsia="Calibri" w:cs="Calibri"/>
          <w:sz w:val="24"/>
          <w:szCs w:val="24"/>
          <w:lang w:eastAsia="en-US"/>
        </w:rPr>
        <w:t>ООО "ЮМЦ", г. Нефтеюганск</w:t>
      </w:r>
    </w:p>
    <w:p w14:paraId="15A8B9F9" w14:textId="07F9CC6D" w:rsidR="00694F49" w:rsidRDefault="00694F49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810318</w:t>
      </w:r>
      <w:r w:rsidRPr="00694F49">
        <w:t xml:space="preserve"> </w:t>
      </w:r>
      <w:r w:rsidRPr="00694F49">
        <w:rPr>
          <w:rFonts w:eastAsia="Calibri" w:cs="Calibri"/>
          <w:sz w:val="24"/>
          <w:szCs w:val="24"/>
          <w:lang w:eastAsia="en-US"/>
        </w:rPr>
        <w:t>ООО Частная Поликлиника "ЛГЦ", г. Сургут</w:t>
      </w:r>
    </w:p>
    <w:p w14:paraId="05A431EC" w14:textId="7AD78401" w:rsidR="00CA62E9" w:rsidRPr="00F55335" w:rsidRDefault="00694F49" w:rsidP="00694F49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>810319</w:t>
      </w:r>
      <w:r w:rsidRPr="00694F49">
        <w:t xml:space="preserve"> </w:t>
      </w:r>
      <w:r w:rsidRPr="00694F49">
        <w:rPr>
          <w:rFonts w:eastAsia="Calibri" w:cs="Calibri"/>
          <w:sz w:val="24"/>
          <w:szCs w:val="24"/>
          <w:lang w:eastAsia="en-US"/>
        </w:rPr>
        <w:t>ООО УЗ ДЦ "Авиценна Инк", г. Сургут</w:t>
      </w:r>
    </w:p>
    <w:p w14:paraId="54EFD17A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единицей учета медицинской помощи является диагностическая услуга, учитываемая как одно посещение с профилактическими и иными целями.</w:t>
      </w:r>
    </w:p>
    <w:p w14:paraId="0F4426D7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2. Посещения по поводу заболевания – первичные и повторные посещения по поводу одного заболевания, входящие в состав обращения, как законченного случая лечения в амбулаторных условиях по поводу заболевания.</w:t>
      </w:r>
    </w:p>
    <w:p w14:paraId="4492C0B3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3. Посещения при оказании неотложной помощи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№ 025-10/уТ-17 «Талон амбулаторного пациента».</w:t>
      </w:r>
    </w:p>
    <w:p w14:paraId="4CF76E84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как отдельная запись, которая содержит 1 посещение врача. 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14:paraId="4B578F7A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Если при оказании неотложной медицинской помощи в приемных отделениях медицинских организаций пациенту выполняется более 1 посещения врача в день обращения за медицинской помощью, то такие случаи должны формироваться в реестре медицинской помощи как несколько посещений при оказании неотложной помощи.</w:t>
      </w:r>
    </w:p>
    <w:p w14:paraId="792806C5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Если при оказании неотложной медицинской помощи в амбулаторных условиях пациенту выполняется более 1 посещения врача разных специальностей в день обращения за медицинской помощью, например посещение врача терапевта участкового, врача-педиатра участкового, врача общей практики, фельдшера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функций лечащего врача на фельдшера приказом руководителя медицинской организации (приказ МЗ и СР РФ от 23.03.2012 №252н)),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травм. пункте и посещение врача –специалиста или нескольких врачей –специалистов разных специальностей (при необходимости медицинских вмешательств для снятия неотложного состояния), то такие случаи должны формироваться в реестре медицинской помощи как несколько посещений при оказании неотложной помощи с обязательным указанием цели первичного обращения «оказание неотложной помощи».</w:t>
      </w:r>
    </w:p>
    <w:p w14:paraId="0F98B066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Первое посещение, оказанное в неотложной форме, в рамках случая поликлинического обслуживания по поводу лечения одного и того же заболевания при оказании медицинской помощи пациенту:</w:t>
      </w:r>
    </w:p>
    <w:p w14:paraId="6FB40435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- на дому (за исключением активных и патронажных посещений на дому) врачом терапевтом участковым, врачом педиатром участковым, врачом общей практики, фельдшером (в случае отсутствия врача-терапевта участкового, врача-педиатра участкового, врача общей практики (семейного врача) по объективным причинам, при условии возложения отдельных </w:t>
      </w:r>
      <w:r w:rsidRPr="00F55335">
        <w:rPr>
          <w:rFonts w:eastAsia="Calibri" w:cs="Calibri"/>
          <w:sz w:val="24"/>
          <w:szCs w:val="24"/>
          <w:lang w:eastAsia="en-US"/>
        </w:rPr>
        <w:lastRenderedPageBreak/>
        <w:t>функций лечащего врача на фельдшера приказом руководителя медицинской организации (приказ МЗ и СР РФ от 23.03.2012 №252н)),</w:t>
      </w:r>
    </w:p>
    <w:p w14:paraId="68124636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на приеме врача-терапевта участкового, врача-педиатра участкового, врача общей практики (семейного врача), фельдшером кабинета неотложной помощи и в травматологическом пункте следует относить к посещениям в связи с оказанием медицинской помощи в неотложной форме, оплата которой осуществляется по тарифу посещения в неотложной форме по соответствующей из указанных специальностей. Такое посещение формируется в реестр как отдельное посещение с обязательным указанием цели первичного обращения «оказание неотложной помощи».</w:t>
      </w:r>
    </w:p>
    <w:p w14:paraId="201C6142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Посещение на дому при оказании медицинской помощи пациенту врачами других специальностей (при отсутствии медицинских вмешательств для снятия неотложного состояния) следует относить:</w:t>
      </w:r>
    </w:p>
    <w:p w14:paraId="7BCBDA12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к посещению с лечебно-диагностической/консультативной целью и оплачивать по тарифу посещения с профилактическими и иными целями по соответствующей специальности (при одном посещении в рамках случая поликлинического обращения – далее СПО);</w:t>
      </w:r>
    </w:p>
    <w:p w14:paraId="5679CE1D" w14:textId="73156FCE" w:rsidR="00BC7264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к обращению по поводу заболевания и оплачивать по тарифу обращения по поводу заболевания по соответствующей специальности (при двух и более посещениях в рамках СПО).</w:t>
      </w:r>
    </w:p>
    <w:p w14:paraId="7D07B991" w14:textId="77777777" w:rsidR="00C535CD" w:rsidRPr="006A2F4E" w:rsidRDefault="00C535CD" w:rsidP="00C535CD">
      <w:pPr>
        <w:ind w:firstLine="69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6A2F4E">
        <w:rPr>
          <w:rFonts w:eastAsia="Calibri" w:cs="Calibri"/>
          <w:sz w:val="24"/>
          <w:szCs w:val="24"/>
          <w:highlight w:val="yellow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14:paraId="2C66E311" w14:textId="77777777" w:rsidR="00C535CD" w:rsidRPr="006A2F4E" w:rsidRDefault="00C535CD" w:rsidP="00C535CD">
      <w:pPr>
        <w:ind w:firstLine="698"/>
        <w:jc w:val="both"/>
        <w:rPr>
          <w:rFonts w:eastAsia="Calibri" w:cs="Calibri"/>
          <w:sz w:val="24"/>
          <w:szCs w:val="24"/>
          <w:highlight w:val="yellow"/>
          <w:lang w:eastAsia="en-US"/>
        </w:rPr>
      </w:pPr>
      <w:r w:rsidRPr="006A2F4E">
        <w:rPr>
          <w:rFonts w:eastAsia="Calibri" w:cs="Calibri"/>
          <w:sz w:val="24"/>
          <w:szCs w:val="24"/>
          <w:highlight w:val="yellow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14:paraId="186F3317" w14:textId="6696463B" w:rsidR="00C535CD" w:rsidRPr="00F55335" w:rsidRDefault="00C535CD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6A2F4E">
        <w:rPr>
          <w:rFonts w:eastAsia="Calibri" w:cs="Calibri"/>
          <w:sz w:val="24"/>
          <w:szCs w:val="24"/>
          <w:highlight w:val="yellow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14:paraId="19E505D4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При формировании реестра следует учесть, что:</w:t>
      </w:r>
    </w:p>
    <w:p w14:paraId="021D60F3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повторное посещение врачом терапевтом участковым, врачом педиатром участковым, врачом общей практики пациента на дому по вызову, не являющееся первым посещением в рамках обращения по поводу заболевания в одной медицинской организации, не квалифицируется как посещение в неотложной форме, отдельный талон амбулаторного приема с целью первичного обращения, пункт «оказания неотложной помощи» не заполняется. Оплата указанного посещения на дому производится в рамках тарифа обращения по поводу заболевания.</w:t>
      </w:r>
    </w:p>
    <w:p w14:paraId="3C1CEFF8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не подлежат оплате посещения к пациенту на дому фельдшером на приеме врача-терапевта участкового, врача-педиатра участкового, врача общей практики (семейного врача).</w:t>
      </w:r>
    </w:p>
    <w:p w14:paraId="3D2EBE95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- не подлежат оплате посещения фельдшером кабинета неотложной помощи и посещения пациента к врачу в поликлинике по поводу лечения одного и того же заболевания, выполненные в один и тот же день.</w:t>
      </w:r>
    </w:p>
    <w:p w14:paraId="45524188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14:paraId="7FA8CB5B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lastRenderedPageBreak/>
        <w:t>Виды посещений «Первичное посещение врача-хирурга, врача-травматолога (травматологические, хирургические кабинеты поликлиник), в приемное (приемно-диагностическое) отделение стационара с направлением клеща на исследование», «Первичное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«Повторное посещение врача-хирурга, врача-травматолога (травматологические, хирургические пункты/кабинеты поликлиник), в приемное (приемно-диагностическое) отделение стационара с целью профилактики клещевого энцефалита с введением иммуноглобулина», «Первичное посещение с целью профилактики бешенства к врачу-хирургу, врачу-травматологу (травматологические, хирургические пункты/кабинеты поликлиник), в приемное (приемно-диагностическое) отделение стационара», «Повторное посещение с целью профилактики бешенства к врачу-хирургу, врачу-травматологу (травматологические, хирургические пункты/кабинеты поликлиник)» квалифицируются как посещения в неотложной форме.</w:t>
      </w:r>
    </w:p>
    <w:p w14:paraId="098E50CE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Посещения в связи с оказанием медицинской помощи в неотложной форме не включаются в состав посещений при обращении по поводу заболевания и должны быть оформлены в виде отдельного Талона амбулаторного пациента.</w:t>
      </w:r>
    </w:p>
    <w:p w14:paraId="33BEB44C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При оказании стоматологической помощи в неотложной форме в Листке ежедневного учета работы врача-стоматолога посещение отражается отдельной строкой с целью посещения «оказание неотложной помощи».</w:t>
      </w:r>
    </w:p>
    <w:p w14:paraId="361789B2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4. Обращение по поводу заболевания - законченный случай лечения заболевания в амбулаторных условиях с кратностью не менее двух посещений по поводу одного заболевания, за исключением случаев, при которых имелось посещение в связи с оказанием неотложной медицинской помощи. </w:t>
      </w:r>
    </w:p>
    <w:p w14:paraId="400A5372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Обращение по поводу заболевания формируется в реестре как отдельная запись, которая содержит более 1 посещения врача (за исключением заболеваний при которых имелось посещение в связи с оказанием неотложной медицинской помощи в неотложной форме) и любое количество диагностических услуг.</w:t>
      </w:r>
    </w:p>
    <w:p w14:paraId="673017D3" w14:textId="77777777" w:rsidR="00BC7264" w:rsidRPr="00F55335" w:rsidRDefault="00BC7264" w:rsidP="00BC7264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Законченный случай обращения по поводу заболевания по профилям: стоматология, медицинская реабилитация, физиотерапия, лечебная физкультура, может содержать одно посещение по поводу заболевания, если цель обращения достигнута. В количество посещений, входящих в обращение по поводу заболевания, в том числе при оказании первичной специализированной медико-санитарной помощи при стоматологических заболеваниях, не входят посещения в связи с оказанием медицинской помощи в неотложной форме.</w:t>
      </w:r>
    </w:p>
    <w:p w14:paraId="3B0EEA92" w14:textId="77777777" w:rsidR="00BC7264" w:rsidRPr="00F55335" w:rsidRDefault="00BC7264" w:rsidP="00BC726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55335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F55335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4649B29D" w14:textId="77777777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2" w:name="_Hlk504813677"/>
      <w:r w:rsidRPr="00F55335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2E36B5C7" w14:textId="0F51338A" w:rsidR="00847343" w:rsidRDefault="00BC7264" w:rsidP="00BC726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F55335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F55335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F55335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</w:t>
      </w:r>
      <w:proofErr w:type="spellStart"/>
      <w:r w:rsidRPr="00F55335">
        <w:rPr>
          <w:rFonts w:eastAsia="SimSun" w:cs="Calibri"/>
          <w:sz w:val="24"/>
          <w:szCs w:val="24"/>
          <w:lang w:eastAsia="zh-CN"/>
        </w:rPr>
        <w:t>перитонеальном</w:t>
      </w:r>
      <w:proofErr w:type="spellEnd"/>
      <w:r w:rsidRPr="00F55335">
        <w:rPr>
          <w:rFonts w:eastAsia="SimSun" w:cs="Calibri"/>
          <w:sz w:val="24"/>
          <w:szCs w:val="24"/>
          <w:lang w:eastAsia="zh-CN"/>
        </w:rPr>
        <w:t xml:space="preserve"> диализе в течение месяца). </w:t>
      </w:r>
      <w:r w:rsidRPr="00F55335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</w:t>
      </w:r>
      <w:r w:rsidR="00847343">
        <w:rPr>
          <w:rFonts w:eastAsia="Calibri" w:cs="Calibri"/>
          <w:sz w:val="24"/>
          <w:szCs w:val="24"/>
          <w:lang w:eastAsia="en-US"/>
        </w:rPr>
        <w:t xml:space="preserve"> </w:t>
      </w:r>
      <w:r w:rsidR="00847343" w:rsidRPr="00152445">
        <w:rPr>
          <w:rFonts w:eastAsia="Calibri" w:cs="Calibri"/>
          <w:sz w:val="24"/>
          <w:szCs w:val="24"/>
          <w:highlight w:val="yellow"/>
          <w:lang w:eastAsia="en-US"/>
        </w:rPr>
        <w:t xml:space="preserve">по </w:t>
      </w:r>
      <w:r w:rsidR="00847343">
        <w:rPr>
          <w:rFonts w:eastAsia="Calibri" w:cs="Calibri"/>
          <w:sz w:val="24"/>
          <w:szCs w:val="24"/>
          <w:highlight w:val="yellow"/>
          <w:lang w:eastAsia="en-US"/>
        </w:rPr>
        <w:t>клинико-статистическим группам профиля «Нефрология</w:t>
      </w:r>
      <w:r w:rsidR="00E37353">
        <w:rPr>
          <w:rFonts w:eastAsia="Calibri" w:cs="Calibri"/>
          <w:sz w:val="24"/>
          <w:szCs w:val="24"/>
          <w:highlight w:val="yellow"/>
          <w:lang w:eastAsia="en-US"/>
        </w:rPr>
        <w:t xml:space="preserve"> (без диализа)</w:t>
      </w:r>
      <w:r w:rsidR="00847343">
        <w:rPr>
          <w:rFonts w:eastAsia="Calibri" w:cs="Calibri"/>
          <w:sz w:val="24"/>
          <w:szCs w:val="24"/>
          <w:highlight w:val="yellow"/>
          <w:lang w:eastAsia="en-US"/>
        </w:rPr>
        <w:t xml:space="preserve">» </w:t>
      </w:r>
      <w:r w:rsidR="00847343" w:rsidRPr="00847343">
        <w:rPr>
          <w:rFonts w:eastAsia="Calibri" w:cs="Calibri"/>
          <w:sz w:val="24"/>
          <w:szCs w:val="24"/>
          <w:highlight w:val="yellow"/>
          <w:lang w:eastAsia="en-US"/>
        </w:rPr>
        <w:t>(</w:t>
      </w:r>
      <w:r w:rsidR="00847343" w:rsidRPr="00847343">
        <w:rPr>
          <w:rFonts w:eastAsiaTheme="minorHAnsi"/>
          <w:b/>
          <w:sz w:val="24"/>
          <w:szCs w:val="24"/>
          <w:highlight w:val="yellow"/>
          <w:lang w:eastAsia="en-US"/>
        </w:rPr>
        <w:t xml:space="preserve">Приложение </w:t>
      </w:r>
      <w:r w:rsidR="00756A57">
        <w:rPr>
          <w:rFonts w:eastAsiaTheme="minorHAnsi"/>
          <w:b/>
          <w:sz w:val="24"/>
          <w:szCs w:val="24"/>
          <w:highlight w:val="yellow"/>
          <w:lang w:eastAsia="en-US"/>
        </w:rPr>
        <w:t>1</w:t>
      </w:r>
      <w:r w:rsidR="00847343">
        <w:rPr>
          <w:rFonts w:eastAsiaTheme="minorHAnsi"/>
          <w:b/>
          <w:sz w:val="24"/>
          <w:szCs w:val="24"/>
          <w:highlight w:val="yellow"/>
          <w:lang w:eastAsia="en-US"/>
        </w:rPr>
        <w:t>4</w:t>
      </w:r>
      <w:r w:rsidR="00847343" w:rsidRPr="00847343">
        <w:rPr>
          <w:rFonts w:eastAsiaTheme="minorHAnsi"/>
          <w:b/>
          <w:sz w:val="24"/>
          <w:szCs w:val="24"/>
          <w:highlight w:val="yellow"/>
          <w:lang w:eastAsia="en-US"/>
        </w:rPr>
        <w:t xml:space="preserve"> </w:t>
      </w:r>
      <w:r w:rsidR="00847343" w:rsidRPr="00847343">
        <w:rPr>
          <w:rFonts w:eastAsiaTheme="minorHAnsi"/>
          <w:sz w:val="24"/>
          <w:szCs w:val="24"/>
          <w:highlight w:val="yellow"/>
          <w:lang w:eastAsia="en-US"/>
        </w:rPr>
        <w:t>к настоящему Тарифному соглашению)</w:t>
      </w:r>
      <w:r w:rsidR="00FC2914">
        <w:rPr>
          <w:rFonts w:eastAsiaTheme="minorHAnsi"/>
          <w:sz w:val="24"/>
          <w:szCs w:val="24"/>
          <w:highlight w:val="yellow"/>
          <w:lang w:eastAsia="en-US"/>
        </w:rPr>
        <w:t xml:space="preserve"> при наличии </w:t>
      </w:r>
      <w:r w:rsidR="00756A57">
        <w:rPr>
          <w:rFonts w:eastAsiaTheme="minorHAnsi"/>
          <w:sz w:val="24"/>
          <w:szCs w:val="24"/>
          <w:highlight w:val="yellow"/>
          <w:lang w:eastAsia="en-US"/>
        </w:rPr>
        <w:t xml:space="preserve">в случае </w:t>
      </w:r>
      <w:r w:rsidR="00756A57" w:rsidRPr="003F198E">
        <w:rPr>
          <w:rFonts w:eastAsiaTheme="minorHAnsi"/>
          <w:sz w:val="24"/>
          <w:szCs w:val="24"/>
          <w:highlight w:val="yellow"/>
          <w:lang w:eastAsia="en-US"/>
        </w:rPr>
        <w:t xml:space="preserve">лечения </w:t>
      </w:r>
      <w:r w:rsidR="00FC2914" w:rsidRPr="003F198E">
        <w:rPr>
          <w:rFonts w:eastAsiaTheme="minorHAnsi"/>
          <w:sz w:val="24"/>
          <w:szCs w:val="24"/>
          <w:highlight w:val="yellow"/>
        </w:rPr>
        <w:t>услуг</w:t>
      </w:r>
      <w:r w:rsidR="003F198E">
        <w:rPr>
          <w:rFonts w:eastAsiaTheme="minorHAnsi"/>
          <w:sz w:val="24"/>
          <w:szCs w:val="24"/>
          <w:highlight w:val="yellow"/>
        </w:rPr>
        <w:t xml:space="preserve"> проведения</w:t>
      </w:r>
      <w:r w:rsidR="00FC2914" w:rsidRPr="003F198E">
        <w:rPr>
          <w:rFonts w:eastAsiaTheme="minorHAnsi"/>
          <w:sz w:val="24"/>
          <w:szCs w:val="24"/>
          <w:highlight w:val="yellow"/>
        </w:rPr>
        <w:t xml:space="preserve"> диализа </w:t>
      </w:r>
      <w:r w:rsidR="00756A57" w:rsidRPr="003F198E">
        <w:rPr>
          <w:rFonts w:eastAsia="Calibri" w:cs="Calibri"/>
          <w:sz w:val="24"/>
          <w:szCs w:val="24"/>
          <w:highlight w:val="yellow"/>
          <w:lang w:eastAsia="en-US"/>
        </w:rPr>
        <w:t>(</w:t>
      </w:r>
      <w:r w:rsidR="00756A57" w:rsidRPr="003F198E">
        <w:rPr>
          <w:rFonts w:eastAsiaTheme="minorHAnsi"/>
          <w:b/>
          <w:sz w:val="24"/>
          <w:szCs w:val="24"/>
          <w:highlight w:val="yellow"/>
          <w:lang w:eastAsia="en-US"/>
        </w:rPr>
        <w:t xml:space="preserve">Приложение </w:t>
      </w:r>
      <w:r w:rsidR="00756A57">
        <w:rPr>
          <w:rFonts w:eastAsiaTheme="minorHAnsi"/>
          <w:b/>
          <w:sz w:val="24"/>
          <w:szCs w:val="24"/>
          <w:highlight w:val="yellow"/>
          <w:lang w:eastAsia="en-US"/>
        </w:rPr>
        <w:t>24</w:t>
      </w:r>
      <w:r w:rsidR="00756A57" w:rsidRPr="00847343">
        <w:rPr>
          <w:rFonts w:eastAsiaTheme="minorHAnsi"/>
          <w:b/>
          <w:sz w:val="24"/>
          <w:szCs w:val="24"/>
          <w:highlight w:val="yellow"/>
          <w:lang w:eastAsia="en-US"/>
        </w:rPr>
        <w:t xml:space="preserve"> </w:t>
      </w:r>
      <w:r w:rsidR="00756A57" w:rsidRPr="00847343">
        <w:rPr>
          <w:rFonts w:eastAsiaTheme="minorHAnsi"/>
          <w:sz w:val="24"/>
          <w:szCs w:val="24"/>
          <w:highlight w:val="yellow"/>
          <w:lang w:eastAsia="en-US"/>
        </w:rPr>
        <w:t>к настоящему Тарифному соглашению)</w:t>
      </w:r>
      <w:r w:rsidR="00756A57">
        <w:rPr>
          <w:rFonts w:eastAsiaTheme="minorHAnsi"/>
          <w:sz w:val="24"/>
          <w:szCs w:val="24"/>
          <w:highlight w:val="yellow"/>
          <w:lang w:eastAsia="en-US"/>
        </w:rPr>
        <w:t>.</w:t>
      </w:r>
    </w:p>
    <w:p w14:paraId="435C4B83" w14:textId="7DD845A7" w:rsidR="00BC7264" w:rsidRPr="00F55335" w:rsidRDefault="00BC7264" w:rsidP="00BC726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152445">
        <w:rPr>
          <w:rFonts w:eastAsia="Calibri" w:cs="Calibri"/>
          <w:sz w:val="24"/>
          <w:szCs w:val="24"/>
          <w:highlight w:val="yellow"/>
          <w:lang w:eastAsia="en-US"/>
        </w:rPr>
        <w:lastRenderedPageBreak/>
        <w:t>К тарифам на услуги диализа не применяются коэффициент уровня оказания медицинской помощи</w:t>
      </w:r>
      <w:r w:rsidR="00847343">
        <w:rPr>
          <w:rFonts w:eastAsia="Calibri" w:cs="Calibri"/>
          <w:sz w:val="24"/>
          <w:szCs w:val="24"/>
          <w:highlight w:val="yellow"/>
          <w:lang w:eastAsia="en-US"/>
        </w:rPr>
        <w:t xml:space="preserve">, </w:t>
      </w:r>
      <w:r w:rsidRPr="00152445">
        <w:rPr>
          <w:rFonts w:eastAsia="Calibri" w:cs="Calibri"/>
          <w:sz w:val="24"/>
          <w:szCs w:val="24"/>
          <w:highlight w:val="yellow"/>
          <w:lang w:eastAsia="en-US"/>
        </w:rPr>
        <w:t>коэффициент сложности лечения пациента</w:t>
      </w:r>
      <w:r w:rsidR="00847343">
        <w:rPr>
          <w:rFonts w:eastAsia="Calibri" w:cs="Calibri"/>
          <w:sz w:val="24"/>
          <w:szCs w:val="24"/>
          <w:highlight w:val="yellow"/>
          <w:lang w:eastAsia="en-US"/>
        </w:rPr>
        <w:t xml:space="preserve"> и управленческий коэффициент</w:t>
      </w:r>
      <w:r w:rsidRPr="00152445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bookmarkEnd w:id="2"/>
    <w:p w14:paraId="46C9C837" w14:textId="77777777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14:paraId="4612C7D6" w14:textId="77777777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55335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Pr="00F55335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14:paraId="59893F1F" w14:textId="77777777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14:paraId="01477510" w14:textId="374CA1D5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</w:t>
      </w:r>
      <w:r w:rsidR="00AB4187">
        <w:rPr>
          <w:rFonts w:eastAsia="Calibri" w:cs="Calibri"/>
          <w:sz w:val="24"/>
          <w:szCs w:val="24"/>
          <w:lang w:eastAsia="en-US"/>
        </w:rPr>
        <w:t>8</w:t>
      </w:r>
      <w:r w:rsidRPr="00F55335">
        <w:rPr>
          <w:rFonts w:eastAsia="Calibri" w:cs="Calibri"/>
          <w:sz w:val="24"/>
          <w:szCs w:val="24"/>
          <w:lang w:eastAsia="en-US"/>
        </w:rPr>
        <w:t xml:space="preserve"> год приложения 1</w:t>
      </w:r>
      <w:r w:rsidR="00AB4187">
        <w:rPr>
          <w:rFonts w:eastAsia="Calibri" w:cs="Calibri"/>
          <w:sz w:val="24"/>
          <w:szCs w:val="24"/>
          <w:lang w:eastAsia="en-US"/>
        </w:rPr>
        <w:t>2</w:t>
      </w:r>
      <w:r w:rsidRPr="00F55335">
        <w:rPr>
          <w:rFonts w:eastAsia="Calibri" w:cs="Calibri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 w:rsidR="00AB4187">
        <w:rPr>
          <w:rFonts w:eastAsia="Calibri" w:cs="Calibri"/>
          <w:sz w:val="24"/>
          <w:szCs w:val="24"/>
          <w:lang w:eastAsia="en-US"/>
        </w:rPr>
        <w:t>8</w:t>
      </w:r>
      <w:r w:rsidRPr="00F55335">
        <w:rPr>
          <w:rFonts w:eastAsia="Calibri" w:cs="Calibri"/>
          <w:sz w:val="24"/>
          <w:szCs w:val="24"/>
          <w:lang w:eastAsia="en-US"/>
        </w:rPr>
        <w:t xml:space="preserve"> год;</w:t>
      </w:r>
    </w:p>
    <w:p w14:paraId="2D629066" w14:textId="12A8BD16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3" w:name="_Hlk504814077"/>
      <w:r w:rsidRPr="00F55335">
        <w:rPr>
          <w:rFonts w:eastAsia="Calibri" w:cs="Calibri"/>
          <w:sz w:val="24"/>
          <w:szCs w:val="24"/>
          <w:lang w:eastAsia="en-US"/>
        </w:rPr>
        <w:t xml:space="preserve"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</w:t>
      </w:r>
      <w:r w:rsidRPr="00152445">
        <w:rPr>
          <w:rFonts w:eastAsia="Calibri" w:cs="Calibri"/>
          <w:sz w:val="24"/>
          <w:szCs w:val="24"/>
          <w:highlight w:val="yellow"/>
          <w:lang w:eastAsia="en-US"/>
        </w:rPr>
        <w:t xml:space="preserve">Медицинская реабилитация в стационарных условиях учитывается в реестре медицинской помощи по </w:t>
      </w:r>
      <w:r w:rsidR="00847343">
        <w:rPr>
          <w:rFonts w:eastAsia="Calibri" w:cs="Calibri"/>
          <w:sz w:val="24"/>
          <w:szCs w:val="24"/>
          <w:highlight w:val="yellow"/>
          <w:lang w:eastAsia="en-US"/>
        </w:rPr>
        <w:t xml:space="preserve">клинико-статистическим группам профиля «Медицинская реабилитация» </w:t>
      </w:r>
      <w:r w:rsidR="00847343" w:rsidRPr="00847343">
        <w:rPr>
          <w:rFonts w:eastAsia="Calibri" w:cs="Calibri"/>
          <w:sz w:val="24"/>
          <w:szCs w:val="24"/>
          <w:highlight w:val="yellow"/>
          <w:lang w:eastAsia="en-US"/>
        </w:rPr>
        <w:t>(</w:t>
      </w:r>
      <w:r w:rsidR="00847343" w:rsidRPr="00847343">
        <w:rPr>
          <w:rFonts w:eastAsiaTheme="minorHAnsi"/>
          <w:b/>
          <w:sz w:val="24"/>
          <w:szCs w:val="24"/>
          <w:highlight w:val="yellow"/>
          <w:lang w:eastAsia="en-US"/>
        </w:rPr>
        <w:t xml:space="preserve">Приложение 15 </w:t>
      </w:r>
      <w:r w:rsidR="00847343" w:rsidRPr="00847343">
        <w:rPr>
          <w:rFonts w:eastAsiaTheme="minorHAnsi"/>
          <w:sz w:val="24"/>
          <w:szCs w:val="24"/>
          <w:highlight w:val="yellow"/>
          <w:lang w:eastAsia="en-US"/>
        </w:rPr>
        <w:t>к настоящему Тарифному соглашению)</w:t>
      </w:r>
      <w:r w:rsidRPr="00152445">
        <w:rPr>
          <w:rFonts w:eastAsia="Calibri" w:cs="Calibri"/>
          <w:sz w:val="24"/>
          <w:szCs w:val="24"/>
          <w:highlight w:val="yellow"/>
          <w:lang w:eastAsia="en-US"/>
        </w:rPr>
        <w:t>.</w:t>
      </w:r>
    </w:p>
    <w:bookmarkEnd w:id="3"/>
    <w:p w14:paraId="394A6BA1" w14:textId="77777777" w:rsidR="00BC7264" w:rsidRPr="00F55335" w:rsidRDefault="00BC7264" w:rsidP="00BC7264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Pr="00F55335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Pr="00F55335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Pr="00F5533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</w:t>
      </w:r>
      <w:proofErr w:type="spellStart"/>
      <w:r w:rsidRPr="00F55335">
        <w:rPr>
          <w:rFonts w:eastAsia="Calibri" w:cs="Calibri"/>
          <w:sz w:val="24"/>
          <w:szCs w:val="24"/>
          <w:lang w:eastAsia="en-US"/>
        </w:rPr>
        <w:t>тромболизиса</w:t>
      </w:r>
      <w:proofErr w:type="spellEnd"/>
      <w:r w:rsidRPr="00F55335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770FC4E8" w14:textId="77777777" w:rsidR="00BC7264" w:rsidRPr="00F55335" w:rsidRDefault="00BC7264" w:rsidP="00BC7264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Pr="00F55335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Pr="00F55335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14:paraId="64AFCB08" w14:textId="77777777" w:rsidR="00214CD8" w:rsidRDefault="00214CD8" w:rsidP="00AF50C6">
      <w:pPr>
        <w:jc w:val="center"/>
        <w:rPr>
          <w:sz w:val="26"/>
          <w:szCs w:val="26"/>
        </w:rPr>
      </w:pPr>
    </w:p>
    <w:p w14:paraId="0DB3FCA4" w14:textId="77777777" w:rsidR="00873694" w:rsidRPr="00873694" w:rsidRDefault="00873694" w:rsidP="00873694">
      <w:pPr>
        <w:jc w:val="center"/>
        <w:rPr>
          <w:sz w:val="24"/>
          <w:szCs w:val="24"/>
        </w:rPr>
      </w:pPr>
      <w:r w:rsidRPr="00873694">
        <w:rPr>
          <w:sz w:val="24"/>
          <w:szCs w:val="24"/>
        </w:rPr>
        <w:t>Подписи сторон:</w:t>
      </w:r>
    </w:p>
    <w:p w14:paraId="4CEFDDC5" w14:textId="77777777" w:rsidR="00873694" w:rsidRPr="00873694" w:rsidRDefault="00873694" w:rsidP="00873694">
      <w:pPr>
        <w:jc w:val="center"/>
        <w:rPr>
          <w:sz w:val="24"/>
          <w:szCs w:val="24"/>
        </w:rPr>
      </w:pPr>
    </w:p>
    <w:p w14:paraId="291B9F44" w14:textId="77777777" w:rsidR="00873694" w:rsidRPr="00873694" w:rsidRDefault="00873694" w:rsidP="00873694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23B9BF3C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комиссии,</w:t>
      </w:r>
    </w:p>
    <w:p w14:paraId="27EA17DF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Директор Департамента здравоохранения</w:t>
      </w:r>
    </w:p>
    <w:p w14:paraId="5AA28CE5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14:paraId="29040097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19975AB4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Секретарь комиссии,</w:t>
      </w:r>
    </w:p>
    <w:p w14:paraId="5E7F678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директор Территориального фонда</w:t>
      </w:r>
    </w:p>
    <w:p w14:paraId="58B4AD5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обязательного медицинского страхования </w:t>
      </w:r>
    </w:p>
    <w:p w14:paraId="2669EA7F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Ханты-Мансийского автономного округа – Югры</w:t>
      </w:r>
      <w:r w:rsidRPr="00873694">
        <w:rPr>
          <w:sz w:val="24"/>
          <w:szCs w:val="24"/>
        </w:rPr>
        <w:tab/>
        <w:t>_______________</w:t>
      </w:r>
      <w:r w:rsidRPr="00873694">
        <w:rPr>
          <w:sz w:val="24"/>
          <w:szCs w:val="24"/>
        </w:rPr>
        <w:tab/>
        <w:t xml:space="preserve">          А.П. Фучежи </w:t>
      </w:r>
    </w:p>
    <w:p w14:paraId="4855DD75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211DAABF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0A2C21A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заместитель директора</w:t>
      </w:r>
    </w:p>
    <w:p w14:paraId="5A14BDD7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департамента здравоохранения</w:t>
      </w:r>
    </w:p>
    <w:p w14:paraId="68C3D2B2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Ханты-Мансийского автономного округа – Югры       ________________</w:t>
      </w:r>
      <w:r w:rsidRPr="00873694">
        <w:rPr>
          <w:sz w:val="24"/>
          <w:szCs w:val="24"/>
        </w:rPr>
        <w:tab/>
        <w:t xml:space="preserve">   В.А. Нигматулин</w:t>
      </w:r>
    </w:p>
    <w:p w14:paraId="3B76DE97" w14:textId="77777777" w:rsidR="00873694" w:rsidRPr="00873694" w:rsidRDefault="00873694" w:rsidP="00873694">
      <w:pPr>
        <w:jc w:val="both"/>
        <w:rPr>
          <w:sz w:val="24"/>
          <w:szCs w:val="24"/>
        </w:rPr>
      </w:pPr>
    </w:p>
    <w:p w14:paraId="5A461E38" w14:textId="77777777" w:rsidR="00873694" w:rsidRPr="00873694" w:rsidRDefault="00873694" w:rsidP="00873694">
      <w:pPr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4F02429A" w14:textId="77777777" w:rsidR="00873694" w:rsidRPr="00873694" w:rsidRDefault="00873694" w:rsidP="00873694">
      <w:pPr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первый заместитель директора</w:t>
      </w:r>
    </w:p>
    <w:p w14:paraId="24C1FC3E" w14:textId="77777777" w:rsidR="00873694" w:rsidRPr="00873694" w:rsidRDefault="00873694" w:rsidP="00873694">
      <w:pPr>
        <w:jc w:val="both"/>
        <w:rPr>
          <w:sz w:val="24"/>
          <w:szCs w:val="24"/>
        </w:rPr>
      </w:pPr>
      <w:r w:rsidRPr="00873694">
        <w:rPr>
          <w:sz w:val="24"/>
          <w:szCs w:val="24"/>
        </w:rPr>
        <w:t>Территориального фонда обязательного</w:t>
      </w:r>
    </w:p>
    <w:p w14:paraId="40F69863" w14:textId="77777777" w:rsidR="00873694" w:rsidRPr="00873694" w:rsidRDefault="00873694" w:rsidP="00873694">
      <w:pPr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медицинского страхования </w:t>
      </w:r>
    </w:p>
    <w:p w14:paraId="4F40DAD7" w14:textId="77777777" w:rsidR="00873694" w:rsidRPr="00873694" w:rsidRDefault="00873694" w:rsidP="00873694">
      <w:pPr>
        <w:jc w:val="both"/>
        <w:rPr>
          <w:sz w:val="24"/>
          <w:szCs w:val="24"/>
        </w:rPr>
      </w:pPr>
      <w:r w:rsidRPr="00873694">
        <w:rPr>
          <w:sz w:val="24"/>
          <w:szCs w:val="24"/>
        </w:rPr>
        <w:t>Ханты-Мансийского автономного округа – Югры</w:t>
      </w:r>
      <w:r w:rsidRPr="00873694">
        <w:rPr>
          <w:sz w:val="24"/>
          <w:szCs w:val="24"/>
        </w:rPr>
        <w:tab/>
        <w:t>________________</w:t>
      </w:r>
      <w:r w:rsidRPr="00873694">
        <w:rPr>
          <w:sz w:val="24"/>
          <w:szCs w:val="24"/>
        </w:rPr>
        <w:tab/>
        <w:t xml:space="preserve">         В.А. Смирнов</w:t>
      </w:r>
    </w:p>
    <w:p w14:paraId="061851E3" w14:textId="77777777" w:rsidR="00873694" w:rsidRPr="00873694" w:rsidRDefault="00873694" w:rsidP="00873694">
      <w:pPr>
        <w:jc w:val="both"/>
        <w:rPr>
          <w:sz w:val="24"/>
          <w:szCs w:val="24"/>
        </w:rPr>
      </w:pPr>
    </w:p>
    <w:p w14:paraId="6E0A1487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13C27F8C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директор Югорского филиала </w:t>
      </w:r>
    </w:p>
    <w:p w14:paraId="27A3E51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акционерного общества </w:t>
      </w:r>
    </w:p>
    <w:p w14:paraId="55997FC5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«Страховая компания «СОГАЗ-Мед»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__________________</w:t>
      </w:r>
      <w:r w:rsidRPr="00873694">
        <w:rPr>
          <w:sz w:val="24"/>
          <w:szCs w:val="24"/>
        </w:rPr>
        <w:tab/>
        <w:t xml:space="preserve">         А.А. Данилов</w:t>
      </w:r>
    </w:p>
    <w:p w14:paraId="7CC79A87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108037D0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14:paraId="21E9E953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директор Ханты-Мансийского филиала</w:t>
      </w:r>
    </w:p>
    <w:p w14:paraId="25A8E8ED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ООО «АльфаСтрахование-</w:t>
      </w:r>
      <w:proofErr w:type="gramStart"/>
      <w:r w:rsidRPr="00873694">
        <w:rPr>
          <w:rFonts w:eastAsia="SimSun"/>
          <w:sz w:val="24"/>
          <w:szCs w:val="24"/>
        </w:rPr>
        <w:t xml:space="preserve">ОМС»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         __________________         М.А. Соловей</w:t>
      </w:r>
    </w:p>
    <w:p w14:paraId="5BFC826B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</w:p>
    <w:p w14:paraId="0124372A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14:paraId="6564F623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президент НП «Ассоциация работников</w:t>
      </w:r>
    </w:p>
    <w:p w14:paraId="6D43792D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14:paraId="508C9E32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 xml:space="preserve">автономного округа – </w:t>
      </w:r>
      <w:proofErr w:type="gramStart"/>
      <w:r w:rsidRPr="00873694">
        <w:rPr>
          <w:sz w:val="24"/>
          <w:szCs w:val="24"/>
        </w:rPr>
        <w:t>Югры</w:t>
      </w:r>
      <w:r w:rsidRPr="00873694">
        <w:rPr>
          <w:rFonts w:eastAsia="SimSun"/>
          <w:sz w:val="24"/>
          <w:szCs w:val="24"/>
        </w:rPr>
        <w:t xml:space="preserve">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              __________________</w:t>
      </w:r>
      <w:r w:rsidRPr="00873694">
        <w:rPr>
          <w:rFonts w:eastAsia="SimSun"/>
          <w:sz w:val="24"/>
          <w:szCs w:val="24"/>
        </w:rPr>
        <w:tab/>
        <w:t xml:space="preserve">         А.В. Кичигин</w:t>
      </w:r>
    </w:p>
    <w:p w14:paraId="3D9DBEE7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</w:p>
    <w:p w14:paraId="67B17C7B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14:paraId="1F016F59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НП «Ассоциация работников</w:t>
      </w:r>
    </w:p>
    <w:p w14:paraId="15197C0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14:paraId="0DB8ECF2" w14:textId="77777777" w:rsidR="00873694" w:rsidRPr="00873694" w:rsidRDefault="00873694" w:rsidP="00873694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>автономного округа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14:paraId="0A66BAD0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22196833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43BF2D9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14:paraId="1843E0A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   __________________</w:t>
      </w:r>
      <w:proofErr w:type="gramStart"/>
      <w:r w:rsidRPr="00873694">
        <w:rPr>
          <w:sz w:val="24"/>
          <w:szCs w:val="24"/>
        </w:rPr>
        <w:tab/>
        <w:t xml:space="preserve">  О.Г.</w:t>
      </w:r>
      <w:proofErr w:type="gramEnd"/>
      <w:r w:rsidRPr="00873694">
        <w:rPr>
          <w:sz w:val="24"/>
          <w:szCs w:val="24"/>
        </w:rPr>
        <w:t xml:space="preserve"> Меньшикова</w:t>
      </w:r>
    </w:p>
    <w:p w14:paraId="7F0D48D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</w:p>
    <w:p w14:paraId="3BB15852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14:paraId="1D961C61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14:paraId="22CB7FDE" w14:textId="77777777" w:rsidR="00873694" w:rsidRPr="00873694" w:rsidRDefault="00873694" w:rsidP="00873694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14:paraId="1DE551C2" w14:textId="73F53E30" w:rsidR="00214CD8" w:rsidRDefault="00873694" w:rsidP="00873694">
      <w:pPr>
        <w:jc w:val="center"/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__________________</w:t>
      </w:r>
      <w:r w:rsidRPr="00873694">
        <w:rPr>
          <w:sz w:val="24"/>
          <w:szCs w:val="24"/>
        </w:rPr>
        <w:tab/>
        <w:t xml:space="preserve">         А.А. Суровов</w:t>
      </w:r>
    </w:p>
    <w:sectPr w:rsidR="00214CD8" w:rsidSect="00873694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52445"/>
    <w:rsid w:val="00152FF5"/>
    <w:rsid w:val="00214CD8"/>
    <w:rsid w:val="00216B5A"/>
    <w:rsid w:val="00222DBA"/>
    <w:rsid w:val="002E203B"/>
    <w:rsid w:val="003F198E"/>
    <w:rsid w:val="004149CE"/>
    <w:rsid w:val="00437B58"/>
    <w:rsid w:val="0047557D"/>
    <w:rsid w:val="00476643"/>
    <w:rsid w:val="004E1B14"/>
    <w:rsid w:val="00506017"/>
    <w:rsid w:val="00621E57"/>
    <w:rsid w:val="006341D6"/>
    <w:rsid w:val="00654A20"/>
    <w:rsid w:val="00694F49"/>
    <w:rsid w:val="006D06D0"/>
    <w:rsid w:val="00704ED9"/>
    <w:rsid w:val="00756A57"/>
    <w:rsid w:val="00767790"/>
    <w:rsid w:val="00782F87"/>
    <w:rsid w:val="007A30A2"/>
    <w:rsid w:val="00847343"/>
    <w:rsid w:val="00873694"/>
    <w:rsid w:val="008A1A31"/>
    <w:rsid w:val="0096610A"/>
    <w:rsid w:val="009B3360"/>
    <w:rsid w:val="009C042A"/>
    <w:rsid w:val="009F19F2"/>
    <w:rsid w:val="009F244E"/>
    <w:rsid w:val="00A004CB"/>
    <w:rsid w:val="00A03D0D"/>
    <w:rsid w:val="00A55B15"/>
    <w:rsid w:val="00A955F7"/>
    <w:rsid w:val="00AA759E"/>
    <w:rsid w:val="00AB4187"/>
    <w:rsid w:val="00AF50C6"/>
    <w:rsid w:val="00B103FE"/>
    <w:rsid w:val="00B51B54"/>
    <w:rsid w:val="00B67A0D"/>
    <w:rsid w:val="00B852B7"/>
    <w:rsid w:val="00BC7264"/>
    <w:rsid w:val="00BE3930"/>
    <w:rsid w:val="00BF134C"/>
    <w:rsid w:val="00C258B4"/>
    <w:rsid w:val="00C535CD"/>
    <w:rsid w:val="00C77E9C"/>
    <w:rsid w:val="00C97B6D"/>
    <w:rsid w:val="00CA62E9"/>
    <w:rsid w:val="00D04BB5"/>
    <w:rsid w:val="00DA549B"/>
    <w:rsid w:val="00DC0E0C"/>
    <w:rsid w:val="00DD51E4"/>
    <w:rsid w:val="00DE5113"/>
    <w:rsid w:val="00E37353"/>
    <w:rsid w:val="00E47799"/>
    <w:rsid w:val="00ED3DA3"/>
    <w:rsid w:val="00EE1FF6"/>
    <w:rsid w:val="00EF7070"/>
    <w:rsid w:val="00F037DD"/>
    <w:rsid w:val="00F359BD"/>
    <w:rsid w:val="00F55335"/>
    <w:rsid w:val="00F711D9"/>
    <w:rsid w:val="00FB4755"/>
    <w:rsid w:val="00FC2914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C20B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BC7264"/>
  </w:style>
  <w:style w:type="character" w:customStyle="1" w:styleId="a6">
    <w:name w:val="Текст примечания Знак"/>
    <w:basedOn w:val="a0"/>
    <w:link w:val="a5"/>
    <w:uiPriority w:val="99"/>
    <w:semiHidden/>
    <w:rsid w:val="00BC72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C7264"/>
    <w:rPr>
      <w:sz w:val="16"/>
      <w:szCs w:val="16"/>
    </w:rPr>
  </w:style>
  <w:style w:type="paragraph" w:styleId="a8">
    <w:name w:val="List Paragraph"/>
    <w:basedOn w:val="a"/>
    <w:uiPriority w:val="34"/>
    <w:qFormat/>
    <w:rsid w:val="00847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10</cp:revision>
  <cp:lastPrinted>2016-12-29T12:31:00Z</cp:lastPrinted>
  <dcterms:created xsi:type="dcterms:W3CDTF">2018-01-26T08:25:00Z</dcterms:created>
  <dcterms:modified xsi:type="dcterms:W3CDTF">2018-01-29T09:44:00Z</dcterms:modified>
</cp:coreProperties>
</file>